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99" w:val="clear"/>
        <w:spacing w:after="0" w:line="240" w:lineRule="auto"/>
        <w:jc w:val="center"/>
        <w:rPr>
          <w:b w:val="1"/>
          <w:color w:val="525252"/>
          <w:sz w:val="28"/>
          <w:szCs w:val="28"/>
        </w:rPr>
      </w:pPr>
      <w:r w:rsidDel="00000000" w:rsidR="00000000" w:rsidRPr="00000000">
        <w:rPr>
          <w:b w:val="1"/>
          <w:color w:val="525252"/>
          <w:sz w:val="28"/>
          <w:szCs w:val="28"/>
          <w:rtl w:val="0"/>
        </w:rPr>
        <w:t xml:space="preserve">PLAN DE MONITOREO, EVALUACIÓN Y CONTRALORÍA SOCIAL</w:t>
      </w:r>
    </w:p>
    <w:p w:rsidR="00000000" w:rsidDel="00000000" w:rsidP="00000000" w:rsidRDefault="00000000" w:rsidRPr="00000000" w14:paraId="00000002">
      <w:pPr>
        <w:spacing w:after="0" w:line="240" w:lineRule="auto"/>
        <w:rPr/>
      </w:pP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t xml:space="preserve">Esta actividad estratégica se realiza en la Etapa 3 de implementación de las iniciativas locales, ya que es donde es necesario realizar monitoreo. Es importante que el </w:t>
      </w:r>
      <w:r w:rsidDel="00000000" w:rsidR="00000000" w:rsidRPr="00000000">
        <w:rPr>
          <w:b w:val="1"/>
          <w:rtl w:val="0"/>
        </w:rPr>
        <w:t xml:space="preserve">Grupo Motor</w:t>
      </w:r>
      <w:r w:rsidDel="00000000" w:rsidR="00000000" w:rsidRPr="00000000">
        <w:rPr>
          <w:rtl w:val="0"/>
        </w:rPr>
        <w:t xml:space="preserve"> vaya liderando el proceso de monitoreo a través del diseño del </w:t>
      </w:r>
      <w:r w:rsidDel="00000000" w:rsidR="00000000" w:rsidRPr="00000000">
        <w:rPr>
          <w:b w:val="1"/>
          <w:rtl w:val="0"/>
        </w:rPr>
        <w:t xml:space="preserve">Plan de Monitoreo, Evaluación y Contraloría Social. </w:t>
      </w: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t xml:space="preserve">El monitoreo es un procedimiento continuo y permanente de acompañamiento a la ejecución de los proyectos que permite comprobar el nivel de efectividad que alcanza su ejecución, con el objeto de apreciar sus avances y, a partir de ello, el diseño de ajustes para asegurar el cumplimiento de los objetivos de la iniciativa. Esto implica que el monitoreo permite visualizar los avances de las iniciativas pero también genera una retroalimentación para corregir le ejecución durante su desarrollo. </w:t>
      </w:r>
    </w:p>
    <w:p w:rsidR="00000000" w:rsidDel="00000000" w:rsidP="00000000" w:rsidRDefault="00000000" w:rsidRPr="00000000" w14:paraId="00000005">
      <w:pPr>
        <w:jc w:val="both"/>
        <w:rPr/>
      </w:pPr>
      <w:r w:rsidDel="00000000" w:rsidR="00000000" w:rsidRPr="00000000">
        <w:rPr>
          <w:rtl w:val="0"/>
        </w:rPr>
        <w:t xml:space="preserve">Para lograr el proceso descrito se utilizarán los mínimos de calidad de actividades, productos, servicios, verificadores.</w:t>
      </w:r>
    </w:p>
    <w:p w:rsidR="00000000" w:rsidDel="00000000" w:rsidP="00000000" w:rsidRDefault="00000000" w:rsidRPr="00000000" w14:paraId="00000006">
      <w:pPr>
        <w:jc w:val="both"/>
        <w:rPr/>
      </w:pPr>
      <w:r w:rsidDel="00000000" w:rsidR="00000000" w:rsidRPr="00000000">
        <w:rPr>
          <w:rtl w:val="0"/>
        </w:rPr>
        <w:t xml:space="preserve">Los representantes del </w:t>
      </w:r>
      <w:r w:rsidDel="00000000" w:rsidR="00000000" w:rsidRPr="00000000">
        <w:rPr>
          <w:b w:val="1"/>
          <w:rtl w:val="0"/>
        </w:rPr>
        <w:t xml:space="preserve">Grupo Motor</w:t>
      </w:r>
      <w:r w:rsidDel="00000000" w:rsidR="00000000" w:rsidRPr="00000000">
        <w:rPr>
          <w:rtl w:val="0"/>
        </w:rPr>
        <w:t xml:space="preserve">, </w:t>
      </w:r>
      <w:r w:rsidDel="00000000" w:rsidR="00000000" w:rsidRPr="00000000">
        <w:rPr>
          <w:b w:val="1"/>
          <w:rtl w:val="0"/>
        </w:rPr>
        <w:t xml:space="preserve">con el apoyo del equipo ejecutor</w:t>
      </w:r>
      <w:r w:rsidDel="00000000" w:rsidR="00000000" w:rsidRPr="00000000">
        <w:rPr>
          <w:rtl w:val="0"/>
        </w:rPr>
        <w:t xml:space="preserve">, asumen la elaboración del Plan de Monitoreo, Evaluación y Contraloría Social. </w:t>
      </w:r>
    </w:p>
    <w:p w:rsidR="00000000" w:rsidDel="00000000" w:rsidP="00000000" w:rsidRDefault="00000000" w:rsidRPr="00000000" w14:paraId="00000007">
      <w:pPr>
        <w:jc w:val="both"/>
        <w:rPr/>
      </w:pPr>
      <w:r w:rsidDel="00000000" w:rsidR="00000000" w:rsidRPr="00000000">
        <w:rPr>
          <w:rtl w:val="0"/>
        </w:rPr>
        <w:t xml:space="preserve">El </w:t>
      </w:r>
      <w:r w:rsidDel="00000000" w:rsidR="00000000" w:rsidRPr="00000000">
        <w:rPr>
          <w:b w:val="1"/>
          <w:rtl w:val="0"/>
        </w:rPr>
        <w:t xml:space="preserve">Plan de Monitoreo</w:t>
      </w:r>
      <w:r w:rsidDel="00000000" w:rsidR="00000000" w:rsidRPr="00000000">
        <w:rPr>
          <w:rtl w:val="0"/>
        </w:rPr>
        <w:t xml:space="preserve"> implica disponer el </w:t>
      </w:r>
      <w:r w:rsidDel="00000000" w:rsidR="00000000" w:rsidRPr="00000000">
        <w:rPr>
          <w:b w:val="1"/>
          <w:rtl w:val="0"/>
        </w:rPr>
        <w:t xml:space="preserve">conjunto de actividades</w:t>
      </w:r>
      <w:r w:rsidDel="00000000" w:rsidR="00000000" w:rsidRPr="00000000">
        <w:rPr>
          <w:rtl w:val="0"/>
        </w:rPr>
        <w:t xml:space="preserve"> del proyecto </w:t>
      </w:r>
      <w:r w:rsidDel="00000000" w:rsidR="00000000" w:rsidRPr="00000000">
        <w:rPr>
          <w:b w:val="1"/>
          <w:rtl w:val="0"/>
        </w:rPr>
        <w:t xml:space="preserve">en una Carta Gantt o agenda de compromiso</w:t>
      </w:r>
      <w:r w:rsidDel="00000000" w:rsidR="00000000" w:rsidRPr="00000000">
        <w:rPr>
          <w:rtl w:val="0"/>
        </w:rPr>
        <w:t xml:space="preserve">, las que pueden ser organizadas en etapas. Una vez establecida esta línea de tiempo, corresponde analizar y los </w:t>
      </w:r>
      <w:r w:rsidDel="00000000" w:rsidR="00000000" w:rsidRPr="00000000">
        <w:rPr>
          <w:b w:val="1"/>
          <w:rtl w:val="0"/>
        </w:rPr>
        <w:t xml:space="preserve">mínimos alcanzados</w:t>
      </w:r>
      <w:r w:rsidDel="00000000" w:rsidR="00000000" w:rsidRPr="00000000">
        <w:rPr>
          <w:rtl w:val="0"/>
        </w:rPr>
        <w:t xml:space="preserve"> propuestos para las actividades y/o etapas definidas, estableciendo los hitos temporales en los que se hará efectivo el monitoreo, y los resultados a alcanzar que permitirán verificar el nivel de cumplimiento hasta la fecha. </w:t>
      </w:r>
    </w:p>
    <w:p w:rsidR="00000000" w:rsidDel="00000000" w:rsidP="00000000" w:rsidRDefault="00000000" w:rsidRPr="00000000" w14:paraId="00000008">
      <w:pPr>
        <w:jc w:val="both"/>
        <w:rPr/>
      </w:pPr>
      <w:r w:rsidDel="00000000" w:rsidR="00000000" w:rsidRPr="00000000">
        <w:rPr>
          <w:rtl w:val="0"/>
        </w:rPr>
        <w:t xml:space="preserve">En consecuencia, para implementar el proceso de monitoreo se proponen dos modalidades: </w:t>
      </w:r>
    </w:p>
    <w:p w:rsidR="00000000" w:rsidDel="00000000" w:rsidP="00000000" w:rsidRDefault="00000000" w:rsidRPr="00000000" w14:paraId="00000009">
      <w:pPr>
        <w:jc w:val="both"/>
        <w:rPr/>
      </w:pPr>
      <w:r w:rsidDel="00000000" w:rsidR="00000000" w:rsidRPr="00000000">
        <w:rPr>
          <w:b w:val="1"/>
          <w:rtl w:val="0"/>
        </w:rPr>
        <w:t xml:space="preserve">1) Tiempo:</w:t>
      </w:r>
      <w:r w:rsidDel="00000000" w:rsidR="00000000" w:rsidRPr="00000000">
        <w:rPr>
          <w:rtl w:val="0"/>
        </w:rPr>
        <w:t xml:space="preserve"> Se puede estipular un periodo de </w:t>
      </w:r>
      <w:r w:rsidDel="00000000" w:rsidR="00000000" w:rsidRPr="00000000">
        <w:rPr>
          <w:b w:val="1"/>
          <w:rtl w:val="0"/>
        </w:rPr>
        <w:t xml:space="preserve">tiempo en promedio</w:t>
      </w:r>
      <w:r w:rsidDel="00000000" w:rsidR="00000000" w:rsidRPr="00000000">
        <w:rPr>
          <w:rtl w:val="0"/>
        </w:rPr>
        <w:t xml:space="preserve"> para monitorear la ejecución de la iniciativa. Por ejemplo, cada 15 días debiese haber una reunión de monitoreo donde se revisen los indicadores de asociados a las actividades que ya se han realizado. </w:t>
      </w:r>
    </w:p>
    <w:p w:rsidR="00000000" w:rsidDel="00000000" w:rsidP="00000000" w:rsidRDefault="00000000" w:rsidRPr="00000000" w14:paraId="0000000A">
      <w:pPr>
        <w:jc w:val="both"/>
        <w:rPr/>
      </w:pPr>
      <w:r w:rsidDel="00000000" w:rsidR="00000000" w:rsidRPr="00000000">
        <w:rPr>
          <w:b w:val="1"/>
          <w:rtl w:val="0"/>
        </w:rPr>
        <w:t xml:space="preserve">2) Por Etapas de Implementación de la Iniciativa:</w:t>
      </w:r>
      <w:r w:rsidDel="00000000" w:rsidR="00000000" w:rsidRPr="00000000">
        <w:rPr>
          <w:rtl w:val="0"/>
        </w:rPr>
        <w:t xml:space="preserve"> se pueden establecer etapas que contengan actividades y realizar el monitoreo cuando termine cada etapa de la iniciativa. </w:t>
      </w:r>
    </w:p>
    <w:p w:rsidR="00000000" w:rsidDel="00000000" w:rsidP="00000000" w:rsidRDefault="00000000" w:rsidRPr="00000000" w14:paraId="0000000B">
      <w:pPr>
        <w:jc w:val="both"/>
        <w:rPr/>
      </w:pPr>
      <w:r w:rsidDel="00000000" w:rsidR="00000000" w:rsidRPr="00000000">
        <w:rPr>
          <w:rtl w:val="0"/>
        </w:rPr>
        <w:t xml:space="preserve">En síntesis, en el marco de la implementación del Programa Acción Local, el Plan de Monitoreo, Evaluación y Contraloría Social corresponde a una Carta Gantt en el que se establecen los hitos temporales en los que se efectúan las acciones de monitoreo, y se definen los indicadores y los medios de verificación que permiten establecer el nivel de cumplimiento del proyecto, sus objetivos, productos y actividades a la fecha.</w:t>
      </w:r>
    </w:p>
    <w:p w:rsidR="00000000" w:rsidDel="00000000" w:rsidP="00000000" w:rsidRDefault="00000000" w:rsidRPr="00000000" w14:paraId="0000000C">
      <w:pPr>
        <w:jc w:val="both"/>
        <w:rPr>
          <w:b w:val="1"/>
          <w:color w:val="000000"/>
          <w:sz w:val="21"/>
          <w:szCs w:val="21"/>
        </w:rPr>
      </w:pPr>
      <w:r w:rsidDel="00000000" w:rsidR="00000000" w:rsidRPr="00000000">
        <w:rPr>
          <w:b w:val="1"/>
          <w:color w:val="000000"/>
          <w:sz w:val="21"/>
          <w:szCs w:val="21"/>
          <w:rtl w:val="0"/>
        </w:rPr>
        <w:t xml:space="preserve">Definir con FOSIS Regional, formato de entrega de este instrumento.</w:t>
      </w:r>
    </w:p>
    <w:p w:rsidR="00000000" w:rsidDel="00000000" w:rsidP="00000000" w:rsidRDefault="00000000" w:rsidRPr="00000000" w14:paraId="0000000D">
      <w:pPr>
        <w:jc w:val="both"/>
        <w:rPr>
          <w:b w:val="1"/>
          <w:color w:val="000000"/>
          <w:sz w:val="21"/>
          <w:szCs w:val="21"/>
        </w:rPr>
      </w:pPr>
      <w:r w:rsidDel="00000000" w:rsidR="00000000" w:rsidRPr="00000000">
        <w:rPr>
          <w:rtl w:val="0"/>
        </w:rPr>
      </w:r>
    </w:p>
    <w:p w:rsidR="00000000" w:rsidDel="00000000" w:rsidP="00000000" w:rsidRDefault="00000000" w:rsidRPr="00000000" w14:paraId="0000000E">
      <w:pPr>
        <w:jc w:val="both"/>
        <w:rPr>
          <w:b w:val="1"/>
          <w:color w:val="000000"/>
          <w:sz w:val="21"/>
          <w:szCs w:val="21"/>
        </w:rPr>
      </w:pPr>
      <w:r w:rsidDel="00000000" w:rsidR="00000000" w:rsidRPr="00000000">
        <w:rPr>
          <w:rtl w:val="0"/>
        </w:rPr>
      </w:r>
    </w:p>
    <w:p w:rsidR="00000000" w:rsidDel="00000000" w:rsidP="00000000" w:rsidRDefault="00000000" w:rsidRPr="00000000" w14:paraId="0000000F">
      <w:pPr>
        <w:jc w:val="both"/>
        <w:rPr>
          <w:b w:val="1"/>
          <w:color w:val="000000"/>
          <w:sz w:val="21"/>
          <w:szCs w:val="21"/>
        </w:rPr>
      </w:pPr>
      <w:r w:rsidDel="00000000" w:rsidR="00000000" w:rsidRPr="00000000">
        <w:rPr>
          <w:rtl w:val="0"/>
        </w:rPr>
      </w:r>
    </w:p>
    <w:p w:rsidR="00000000" w:rsidDel="00000000" w:rsidP="00000000" w:rsidRDefault="00000000" w:rsidRPr="00000000" w14:paraId="00000010">
      <w:pPr>
        <w:jc w:val="both"/>
        <w:rPr>
          <w:b w:val="1"/>
          <w:color w:val="000000"/>
          <w:sz w:val="21"/>
          <w:szCs w:val="21"/>
        </w:rPr>
      </w:pPr>
      <w:r w:rsidDel="00000000" w:rsidR="00000000" w:rsidRPr="00000000">
        <w:rPr>
          <w:rtl w:val="0"/>
        </w:rPr>
      </w:r>
    </w:p>
    <w:p w:rsidR="00000000" w:rsidDel="00000000" w:rsidP="00000000" w:rsidRDefault="00000000" w:rsidRPr="00000000" w14:paraId="00000011">
      <w:pPr>
        <w:jc w:val="both"/>
        <w:rPr>
          <w:b w:val="1"/>
          <w:color w:val="000000"/>
          <w:sz w:val="21"/>
          <w:szCs w:val="21"/>
        </w:rPr>
      </w:pPr>
      <w:r w:rsidDel="00000000" w:rsidR="00000000" w:rsidRPr="00000000">
        <w:rPr>
          <w:rtl w:val="0"/>
        </w:rPr>
      </w:r>
    </w:p>
    <w:p w:rsidR="00000000" w:rsidDel="00000000" w:rsidP="00000000" w:rsidRDefault="00000000" w:rsidRPr="00000000" w14:paraId="00000012">
      <w:pPr>
        <w:spacing w:line="240" w:lineRule="auto"/>
        <w:jc w:val="both"/>
        <w:rPr>
          <w:rFonts w:ascii="Times New Roman" w:cs="Times New Roman" w:eastAsia="Times New Roman" w:hAnsi="Times New Roman"/>
          <w:sz w:val="24"/>
          <w:szCs w:val="24"/>
        </w:rPr>
      </w:pPr>
      <w:r w:rsidDel="00000000" w:rsidR="00000000" w:rsidRPr="00000000">
        <w:rPr>
          <w:rFonts w:ascii="Calibri" w:cs="Calibri" w:eastAsia="Calibri" w:hAnsi="Calibri"/>
          <w:b w:val="1"/>
          <w:color w:val="000000"/>
          <w:sz w:val="24"/>
          <w:szCs w:val="24"/>
          <w:rtl w:val="0"/>
        </w:rPr>
        <w:t xml:space="preserve">El proyecto centró su monitoreo en dos grandes líneas de trabajo:</w:t>
      </w:r>
      <w:r w:rsidDel="00000000" w:rsidR="00000000" w:rsidRPr="00000000">
        <w:rPr>
          <w:rtl w:val="0"/>
        </w:rPr>
      </w:r>
    </w:p>
    <w:p w:rsidR="00000000" w:rsidDel="00000000" w:rsidP="00000000" w:rsidRDefault="00000000" w:rsidRPr="00000000" w14:paraId="00000013">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spacing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 Adquisición y financiamiento de la totalidad de las iniciativas definidas por la comunidad en las tres villas intervenidas, de acuerdo con el plan de desarrollo local presentado y 2.- Monitoreo, seguimiento y supervisión del proceso post inversiones de las iniciativas.</w:t>
      </w:r>
    </w:p>
    <w:p w:rsidR="00000000" w:rsidDel="00000000" w:rsidP="00000000" w:rsidRDefault="00000000" w:rsidRPr="00000000" w14:paraId="00000015">
      <w:pPr>
        <w:spacing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Se veló porque las representantes de las tres villas hayan dado cumplimiento a las fechas trazadas según lo determinado por el equipo ejecutor para las inversiones de las iniciativas comunitarias, desde la definición de las mismas, pasando por la cotización y su posterior implementación, dando seguimiento telefónico y en terreno, realizando la compra y supervisión, dando acompañamiento y coordinando entregas domiciliarias seguras de los productos y apoyando procesos administrativos y de coordinación para lograr ejecutar la obra en el caso particular de la Villa Nacimiento. Para este último caso, se </w:t>
      </w:r>
      <w:r w:rsidDel="00000000" w:rsidR="00000000" w:rsidRPr="00000000">
        <w:rPr>
          <w:rFonts w:ascii="Times New Roman" w:cs="Times New Roman" w:eastAsia="Times New Roman" w:hAnsi="Times New Roman"/>
          <w:sz w:val="24"/>
          <w:szCs w:val="24"/>
          <w:rtl w:val="0"/>
        </w:rPr>
        <w:t xml:space="preserve">modificó e implementó un</w:t>
      </w:r>
      <w:r w:rsidDel="00000000" w:rsidR="00000000" w:rsidRPr="00000000">
        <w:rPr>
          <w:rFonts w:ascii="Calibri" w:cs="Calibri" w:eastAsia="Calibri" w:hAnsi="Calibri"/>
          <w:color w:val="000000"/>
          <w:sz w:val="24"/>
          <w:szCs w:val="24"/>
          <w:rtl w:val="0"/>
        </w:rPr>
        <w:t xml:space="preserve"> contrato de obra especificando el trabajo a realizar, los responsables, representantes de la comunidad, forma de pago y monto y plazos de entrega, el cual fue firmado en tres copias por el contratista y representante de la comunidad en presencia del equipo ejecutor y parte del equipo de Regeneración Urbana del MINVU.</w:t>
      </w:r>
    </w:p>
    <w:p w:rsidR="00000000" w:rsidDel="00000000" w:rsidP="00000000" w:rsidRDefault="00000000" w:rsidRPr="00000000" w14:paraId="00000016">
      <w:pPr>
        <w:spacing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Para las tres iniciativas comunitarias, el equipo ha realizado seguimiento para verificar el buen uso de los implementos, materiales, herramientas, maquinarias y obras financiadas, de modo de dar cumplimiento a los objetivos propuestos por la comunidad.</w:t>
      </w:r>
    </w:p>
    <w:p w:rsidR="00000000" w:rsidDel="00000000" w:rsidP="00000000" w:rsidRDefault="00000000" w:rsidRPr="00000000" w14:paraId="00000017">
      <w:pPr>
        <w:spacing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Las tres iniciativas comunitarias definidas, una por cada villa intervenida, se desarrollaron dentro de los plazos de la ejecución del proyecto y de acuerdo a lo acordado entre el equipo ejecutor y la comunidad, cumpliendo de ese modo con el plan de desarrollo local trabajado en la etapa anterior.</w:t>
      </w:r>
    </w:p>
    <w:p w:rsidR="00000000" w:rsidDel="00000000" w:rsidP="00000000" w:rsidRDefault="00000000" w:rsidRPr="00000000" w14:paraId="00000018">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spacing w:line="240" w:lineRule="auto"/>
        <w:jc w:val="both"/>
        <w:rPr>
          <w:rFonts w:ascii="Times New Roman" w:cs="Times New Roman" w:eastAsia="Times New Roman" w:hAnsi="Times New Roman"/>
          <w:sz w:val="24"/>
          <w:szCs w:val="24"/>
        </w:rPr>
      </w:pPr>
      <w:r w:rsidDel="00000000" w:rsidR="00000000" w:rsidRPr="00000000">
        <w:rPr>
          <w:rFonts w:ascii="Calibri" w:cs="Calibri" w:eastAsia="Calibri" w:hAnsi="Calibri"/>
          <w:b w:val="1"/>
          <w:color w:val="000000"/>
          <w:sz w:val="24"/>
          <w:szCs w:val="24"/>
          <w:rtl w:val="0"/>
        </w:rPr>
        <w:t xml:space="preserve">PROYECCIÓN DE LAS INVERSIONES Y EL TRABAJO COMUNITARIO.</w:t>
      </w: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spacing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Las distintas organizaciones y/o representantes de la comunidad, deberán proponer, en un trabajo conjunto con el equipo ejecutor, la forma en que se realizará el trabajo comunitario de acuerdo con sus propias características, de tal forma, cada cual pueda desarrollar actividades de diversa naturaleza en función de los bienes adquiridos, impulsando actividades en terreno para incrementar la participación de la comunidad y su decidida vinculación en la mejora de la calidad de vida de las familias presentes en sus barrios. Además, seguir en vinculación entre las tres villas para realizar acciones conjuntas que vayan en beneficio de un grupo más amplio de personas, manteniendo como red de apoyo fundamental al municipio de La Pintana, a través</w:t>
      </w:r>
      <w:r w:rsidDel="00000000" w:rsidR="00000000" w:rsidRPr="00000000">
        <w:rPr>
          <w:sz w:val="24"/>
          <w:szCs w:val="24"/>
          <w:rtl w:val="0"/>
        </w:rPr>
        <w:t xml:space="preserve"> </w:t>
      </w:r>
      <w:r w:rsidDel="00000000" w:rsidR="00000000" w:rsidRPr="00000000">
        <w:rPr>
          <w:rFonts w:ascii="Calibri" w:cs="Calibri" w:eastAsia="Calibri" w:hAnsi="Calibri"/>
          <w:color w:val="000000"/>
          <w:sz w:val="24"/>
          <w:szCs w:val="24"/>
          <w:rtl w:val="0"/>
        </w:rPr>
        <w:t xml:space="preserve">del departamento de seguridad humana.</w:t>
      </w:r>
    </w:p>
    <w:p w:rsidR="00000000" w:rsidDel="00000000" w:rsidP="00000000" w:rsidRDefault="00000000" w:rsidRPr="00000000" w14:paraId="0000001C">
      <w:pPr>
        <w:spacing w:line="240" w:lineRule="auto"/>
        <w:jc w:val="both"/>
        <w:rPr>
          <w:rFonts w:ascii="Times New Roman" w:cs="Times New Roman" w:eastAsia="Times New Roman" w:hAnsi="Times New Roman"/>
          <w:sz w:val="24"/>
          <w:szCs w:val="24"/>
        </w:rPr>
      </w:pPr>
      <w:r w:rsidDel="00000000" w:rsidR="00000000" w:rsidRPr="00000000">
        <w:rPr>
          <w:rFonts w:ascii="Calibri" w:cs="Calibri" w:eastAsia="Calibri" w:hAnsi="Calibri"/>
          <w:color w:val="000000"/>
          <w:sz w:val="24"/>
          <w:szCs w:val="24"/>
          <w:rtl w:val="0"/>
        </w:rPr>
        <w:t xml:space="preserve">Es por lo anterior, que el equipo asesor instaló entre las y los asistentes a las distintas sesiones de trabajo, desde el diagnóstico comunitario, la necesidad de una acción coordinada entre las organizaciones comunitarias existentes en la población Santo Tomás, pero particularmente, de las villas Millaray, La Serena y Nacimiento, con una dirección horizontal y no vertical de mando tradicional entre ellas/os, esto generará una coordinación sin cadena de mando, reemplazándola por una de ejecución, en base a opiniones y decisiones compartidas y a trabajo comunitario en coordinación con el gobierno local y con otras organizaciones del territorio de carácter público o privado.</w:t>
      </w:r>
      <w:r w:rsidDel="00000000" w:rsidR="00000000" w:rsidRPr="00000000">
        <w:rPr>
          <w:rtl w:val="0"/>
        </w:rPr>
      </w:r>
    </w:p>
    <w:p w:rsidR="00000000" w:rsidDel="00000000" w:rsidP="00000000" w:rsidRDefault="00000000" w:rsidRPr="00000000" w14:paraId="0000001D">
      <w:pPr>
        <w:jc w:val="both"/>
        <w:rPr>
          <w:b w:val="1"/>
        </w:rPr>
      </w:pPr>
      <w:r w:rsidDel="00000000" w:rsidR="00000000" w:rsidRPr="00000000">
        <w:rPr>
          <w:b w:val="1"/>
          <w:rtl w:val="0"/>
        </w:rPr>
        <w:br w:type="textWrapping"/>
        <w:br w:type="textWrapping"/>
        <w:t xml:space="preserve">Implementación de las iniciativas comunitarias, monitoreo y seguimiento</w:t>
      </w:r>
    </w:p>
    <w:tbl>
      <w:tblPr>
        <w:tblStyle w:val="Table1"/>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0"/>
        <w:gridCol w:w="2067"/>
        <w:gridCol w:w="2126"/>
        <w:gridCol w:w="4155"/>
        <w:tblGridChange w:id="0">
          <w:tblGrid>
            <w:gridCol w:w="480"/>
            <w:gridCol w:w="2067"/>
            <w:gridCol w:w="2126"/>
            <w:gridCol w:w="4155"/>
          </w:tblGrid>
        </w:tblGridChange>
      </w:tblGrid>
      <w:tr>
        <w:trPr>
          <w:cantSplit w:val="0"/>
          <w:tblHeader w:val="0"/>
        </w:trPr>
        <w:tc>
          <w:tcPr>
            <w:shd w:fill="a8d08d" w:val="clear"/>
          </w:tcPr>
          <w:p w:rsidR="00000000" w:rsidDel="00000000" w:rsidP="00000000" w:rsidRDefault="00000000" w:rsidRPr="00000000" w14:paraId="0000001E">
            <w:pPr>
              <w:jc w:val="both"/>
              <w:rPr>
                <w:b w:val="1"/>
                <w:sz w:val="24"/>
                <w:szCs w:val="24"/>
              </w:rPr>
            </w:pPr>
            <w:r w:rsidDel="00000000" w:rsidR="00000000" w:rsidRPr="00000000">
              <w:rPr>
                <w:b w:val="1"/>
                <w:sz w:val="24"/>
                <w:szCs w:val="24"/>
                <w:rtl w:val="0"/>
              </w:rPr>
              <w:t xml:space="preserve">Nº</w:t>
            </w:r>
          </w:p>
        </w:tc>
        <w:tc>
          <w:tcPr>
            <w:shd w:fill="a8d08d" w:val="clear"/>
          </w:tcPr>
          <w:p w:rsidR="00000000" w:rsidDel="00000000" w:rsidP="00000000" w:rsidRDefault="00000000" w:rsidRPr="00000000" w14:paraId="0000001F">
            <w:pPr>
              <w:jc w:val="both"/>
              <w:rPr>
                <w:b w:val="1"/>
                <w:sz w:val="24"/>
                <w:szCs w:val="24"/>
              </w:rPr>
            </w:pPr>
            <w:r w:rsidDel="00000000" w:rsidR="00000000" w:rsidRPr="00000000">
              <w:rPr>
                <w:b w:val="1"/>
                <w:sz w:val="24"/>
                <w:szCs w:val="24"/>
                <w:rtl w:val="0"/>
              </w:rPr>
              <w:t xml:space="preserve">Fecha inicio</w:t>
            </w:r>
          </w:p>
        </w:tc>
        <w:tc>
          <w:tcPr>
            <w:shd w:fill="a8d08d" w:val="clear"/>
          </w:tcPr>
          <w:p w:rsidR="00000000" w:rsidDel="00000000" w:rsidP="00000000" w:rsidRDefault="00000000" w:rsidRPr="00000000" w14:paraId="00000020">
            <w:pPr>
              <w:jc w:val="both"/>
              <w:rPr>
                <w:b w:val="1"/>
                <w:sz w:val="24"/>
                <w:szCs w:val="24"/>
              </w:rPr>
            </w:pPr>
            <w:r w:rsidDel="00000000" w:rsidR="00000000" w:rsidRPr="00000000">
              <w:rPr>
                <w:b w:val="1"/>
                <w:sz w:val="24"/>
                <w:szCs w:val="24"/>
                <w:rtl w:val="0"/>
              </w:rPr>
              <w:t xml:space="preserve">Fecha finalización</w:t>
            </w:r>
          </w:p>
        </w:tc>
        <w:tc>
          <w:tcPr>
            <w:shd w:fill="a8d08d" w:val="clear"/>
          </w:tcPr>
          <w:p w:rsidR="00000000" w:rsidDel="00000000" w:rsidP="00000000" w:rsidRDefault="00000000" w:rsidRPr="00000000" w14:paraId="00000021">
            <w:pPr>
              <w:jc w:val="both"/>
              <w:rPr>
                <w:b w:val="1"/>
                <w:sz w:val="24"/>
                <w:szCs w:val="24"/>
              </w:rPr>
            </w:pPr>
            <w:r w:rsidDel="00000000" w:rsidR="00000000" w:rsidRPr="00000000">
              <w:rPr>
                <w:b w:val="1"/>
                <w:sz w:val="24"/>
                <w:szCs w:val="24"/>
                <w:rtl w:val="0"/>
              </w:rPr>
              <w:t xml:space="preserve">Hito o actividad</w:t>
            </w:r>
          </w:p>
        </w:tc>
      </w:tr>
      <w:tr>
        <w:trPr>
          <w:cantSplit w:val="0"/>
          <w:tblHeader w:val="0"/>
        </w:trPr>
        <w:tc>
          <w:tcPr/>
          <w:p w:rsidR="00000000" w:rsidDel="00000000" w:rsidP="00000000" w:rsidRDefault="00000000" w:rsidRPr="00000000" w14:paraId="00000022">
            <w:pPr>
              <w:jc w:val="both"/>
              <w:rPr>
                <w:b w:val="1"/>
                <w:sz w:val="24"/>
                <w:szCs w:val="24"/>
              </w:rPr>
            </w:pPr>
            <w:r w:rsidDel="00000000" w:rsidR="00000000" w:rsidRPr="00000000">
              <w:rPr>
                <w:b w:val="1"/>
                <w:sz w:val="24"/>
                <w:szCs w:val="24"/>
                <w:rtl w:val="0"/>
              </w:rPr>
              <w:t xml:space="preserve">1</w:t>
            </w:r>
          </w:p>
        </w:tc>
        <w:tc>
          <w:tcPr/>
          <w:p w:rsidR="00000000" w:rsidDel="00000000" w:rsidP="00000000" w:rsidRDefault="00000000" w:rsidRPr="00000000" w14:paraId="00000023">
            <w:pPr>
              <w:jc w:val="both"/>
              <w:rPr>
                <w:sz w:val="24"/>
                <w:szCs w:val="24"/>
              </w:rPr>
            </w:pPr>
            <w:r w:rsidDel="00000000" w:rsidR="00000000" w:rsidRPr="00000000">
              <w:rPr>
                <w:sz w:val="24"/>
                <w:szCs w:val="24"/>
                <w:rtl w:val="0"/>
              </w:rPr>
              <w:t xml:space="preserve">Enero 2022</w:t>
            </w:r>
          </w:p>
        </w:tc>
        <w:tc>
          <w:tcPr/>
          <w:p w:rsidR="00000000" w:rsidDel="00000000" w:rsidP="00000000" w:rsidRDefault="00000000" w:rsidRPr="00000000" w14:paraId="00000024">
            <w:pPr>
              <w:jc w:val="both"/>
              <w:rPr>
                <w:sz w:val="24"/>
                <w:szCs w:val="24"/>
              </w:rPr>
            </w:pPr>
            <w:r w:rsidDel="00000000" w:rsidR="00000000" w:rsidRPr="00000000">
              <w:rPr>
                <w:sz w:val="24"/>
                <w:szCs w:val="24"/>
                <w:rtl w:val="0"/>
              </w:rPr>
              <w:t xml:space="preserve">Febrero 2022</w:t>
            </w:r>
          </w:p>
        </w:tc>
        <w:tc>
          <w:tcPr/>
          <w:p w:rsidR="00000000" w:rsidDel="00000000" w:rsidP="00000000" w:rsidRDefault="00000000" w:rsidRPr="00000000" w14:paraId="00000025">
            <w:pPr>
              <w:jc w:val="both"/>
              <w:rPr>
                <w:sz w:val="24"/>
                <w:szCs w:val="24"/>
              </w:rPr>
            </w:pPr>
            <w:r w:rsidDel="00000000" w:rsidR="00000000" w:rsidRPr="00000000">
              <w:rPr>
                <w:sz w:val="24"/>
                <w:szCs w:val="24"/>
                <w:rtl w:val="0"/>
              </w:rPr>
              <w:t xml:space="preserve">Cotizaciones para financiamiento de iniciativas.</w:t>
            </w:r>
          </w:p>
        </w:tc>
      </w:tr>
      <w:tr>
        <w:trPr>
          <w:cantSplit w:val="0"/>
          <w:tblHeader w:val="0"/>
        </w:trPr>
        <w:tc>
          <w:tcPr/>
          <w:p w:rsidR="00000000" w:rsidDel="00000000" w:rsidP="00000000" w:rsidRDefault="00000000" w:rsidRPr="00000000" w14:paraId="00000026">
            <w:pPr>
              <w:jc w:val="both"/>
              <w:rPr>
                <w:b w:val="1"/>
                <w:sz w:val="24"/>
                <w:szCs w:val="24"/>
              </w:rPr>
            </w:pPr>
            <w:r w:rsidDel="00000000" w:rsidR="00000000" w:rsidRPr="00000000">
              <w:rPr>
                <w:b w:val="1"/>
                <w:sz w:val="24"/>
                <w:szCs w:val="24"/>
                <w:rtl w:val="0"/>
              </w:rPr>
              <w:t xml:space="preserve">2</w:t>
            </w:r>
          </w:p>
        </w:tc>
        <w:tc>
          <w:tcPr/>
          <w:p w:rsidR="00000000" w:rsidDel="00000000" w:rsidP="00000000" w:rsidRDefault="00000000" w:rsidRPr="00000000" w14:paraId="00000027">
            <w:pPr>
              <w:jc w:val="both"/>
              <w:rPr>
                <w:sz w:val="24"/>
                <w:szCs w:val="24"/>
              </w:rPr>
            </w:pPr>
            <w:r w:rsidDel="00000000" w:rsidR="00000000" w:rsidRPr="00000000">
              <w:rPr>
                <w:sz w:val="24"/>
                <w:szCs w:val="24"/>
                <w:rtl w:val="0"/>
              </w:rPr>
              <w:t xml:space="preserve">15 de febrero 2022</w:t>
            </w:r>
          </w:p>
        </w:tc>
        <w:tc>
          <w:tcPr/>
          <w:p w:rsidR="00000000" w:rsidDel="00000000" w:rsidP="00000000" w:rsidRDefault="00000000" w:rsidRPr="00000000" w14:paraId="00000028">
            <w:pPr>
              <w:jc w:val="both"/>
              <w:rPr>
                <w:sz w:val="24"/>
                <w:szCs w:val="24"/>
              </w:rPr>
            </w:pPr>
            <w:r w:rsidDel="00000000" w:rsidR="00000000" w:rsidRPr="00000000">
              <w:rPr>
                <w:sz w:val="24"/>
                <w:szCs w:val="24"/>
                <w:rtl w:val="0"/>
              </w:rPr>
              <w:t xml:space="preserve">20 de marzo 2022</w:t>
            </w:r>
          </w:p>
        </w:tc>
        <w:tc>
          <w:tcPr/>
          <w:p w:rsidR="00000000" w:rsidDel="00000000" w:rsidP="00000000" w:rsidRDefault="00000000" w:rsidRPr="00000000" w14:paraId="00000029">
            <w:pPr>
              <w:jc w:val="both"/>
              <w:rPr>
                <w:sz w:val="24"/>
                <w:szCs w:val="24"/>
              </w:rPr>
            </w:pPr>
            <w:r w:rsidDel="00000000" w:rsidR="00000000" w:rsidRPr="00000000">
              <w:rPr>
                <w:sz w:val="24"/>
                <w:szCs w:val="24"/>
                <w:rtl w:val="0"/>
              </w:rPr>
              <w:t xml:space="preserve">Seguimiento y actualización de cotizaciones para financiamiento de las iniciativas.</w:t>
            </w:r>
          </w:p>
        </w:tc>
      </w:tr>
      <w:tr>
        <w:trPr>
          <w:cantSplit w:val="0"/>
          <w:tblHeader w:val="0"/>
        </w:trPr>
        <w:tc>
          <w:tcPr/>
          <w:p w:rsidR="00000000" w:rsidDel="00000000" w:rsidP="00000000" w:rsidRDefault="00000000" w:rsidRPr="00000000" w14:paraId="0000002A">
            <w:pPr>
              <w:jc w:val="both"/>
              <w:rPr>
                <w:b w:val="1"/>
                <w:sz w:val="24"/>
                <w:szCs w:val="24"/>
              </w:rPr>
            </w:pPr>
            <w:r w:rsidDel="00000000" w:rsidR="00000000" w:rsidRPr="00000000">
              <w:rPr>
                <w:b w:val="1"/>
                <w:sz w:val="24"/>
                <w:szCs w:val="24"/>
                <w:rtl w:val="0"/>
              </w:rPr>
              <w:t xml:space="preserve">3</w:t>
            </w:r>
          </w:p>
        </w:tc>
        <w:tc>
          <w:tcPr/>
          <w:p w:rsidR="00000000" w:rsidDel="00000000" w:rsidP="00000000" w:rsidRDefault="00000000" w:rsidRPr="00000000" w14:paraId="0000002B">
            <w:pPr>
              <w:jc w:val="both"/>
              <w:rPr>
                <w:sz w:val="24"/>
                <w:szCs w:val="24"/>
              </w:rPr>
            </w:pPr>
            <w:r w:rsidDel="00000000" w:rsidR="00000000" w:rsidRPr="00000000">
              <w:rPr>
                <w:sz w:val="24"/>
                <w:szCs w:val="24"/>
                <w:rtl w:val="0"/>
              </w:rPr>
              <w:t xml:space="preserve">25 de marzo 2022</w:t>
            </w:r>
          </w:p>
        </w:tc>
        <w:tc>
          <w:tcPr/>
          <w:p w:rsidR="00000000" w:rsidDel="00000000" w:rsidP="00000000" w:rsidRDefault="00000000" w:rsidRPr="00000000" w14:paraId="0000002C">
            <w:pPr>
              <w:jc w:val="both"/>
              <w:rPr>
                <w:sz w:val="24"/>
                <w:szCs w:val="24"/>
              </w:rPr>
            </w:pPr>
            <w:r w:rsidDel="00000000" w:rsidR="00000000" w:rsidRPr="00000000">
              <w:rPr>
                <w:sz w:val="24"/>
                <w:szCs w:val="24"/>
                <w:rtl w:val="0"/>
              </w:rPr>
              <w:t xml:space="preserve">03 de mayo 2022</w:t>
            </w:r>
          </w:p>
        </w:tc>
        <w:tc>
          <w:tcPr/>
          <w:p w:rsidR="00000000" w:rsidDel="00000000" w:rsidP="00000000" w:rsidRDefault="00000000" w:rsidRPr="00000000" w14:paraId="0000002D">
            <w:pPr>
              <w:jc w:val="both"/>
              <w:rPr>
                <w:sz w:val="24"/>
                <w:szCs w:val="24"/>
              </w:rPr>
            </w:pPr>
            <w:r w:rsidDel="00000000" w:rsidR="00000000" w:rsidRPr="00000000">
              <w:rPr>
                <w:sz w:val="24"/>
                <w:szCs w:val="24"/>
                <w:rtl w:val="0"/>
              </w:rPr>
              <w:t xml:space="preserve">Implementación de las iniciativas comunitarias (compras finalizadas y obras terminadas)</w:t>
            </w:r>
          </w:p>
        </w:tc>
      </w:tr>
      <w:tr>
        <w:trPr>
          <w:cantSplit w:val="0"/>
          <w:tblHeader w:val="0"/>
        </w:trPr>
        <w:tc>
          <w:tcPr/>
          <w:p w:rsidR="00000000" w:rsidDel="00000000" w:rsidP="00000000" w:rsidRDefault="00000000" w:rsidRPr="00000000" w14:paraId="0000002E">
            <w:pPr>
              <w:jc w:val="both"/>
              <w:rPr>
                <w:b w:val="1"/>
                <w:sz w:val="24"/>
                <w:szCs w:val="24"/>
              </w:rPr>
            </w:pPr>
            <w:r w:rsidDel="00000000" w:rsidR="00000000" w:rsidRPr="00000000">
              <w:rPr>
                <w:b w:val="1"/>
                <w:sz w:val="24"/>
                <w:szCs w:val="24"/>
                <w:rtl w:val="0"/>
              </w:rPr>
              <w:t xml:space="preserve">4</w:t>
            </w:r>
          </w:p>
        </w:tc>
        <w:tc>
          <w:tcPr/>
          <w:p w:rsidR="00000000" w:rsidDel="00000000" w:rsidP="00000000" w:rsidRDefault="00000000" w:rsidRPr="00000000" w14:paraId="0000002F">
            <w:pPr>
              <w:jc w:val="both"/>
              <w:rPr>
                <w:sz w:val="24"/>
                <w:szCs w:val="24"/>
              </w:rPr>
            </w:pPr>
            <w:r w:rsidDel="00000000" w:rsidR="00000000" w:rsidRPr="00000000">
              <w:rPr>
                <w:sz w:val="24"/>
                <w:szCs w:val="24"/>
                <w:rtl w:val="0"/>
              </w:rPr>
              <w:t xml:space="preserve">01 de abril 2022</w:t>
            </w:r>
          </w:p>
        </w:tc>
        <w:tc>
          <w:tcPr/>
          <w:p w:rsidR="00000000" w:rsidDel="00000000" w:rsidP="00000000" w:rsidRDefault="00000000" w:rsidRPr="00000000" w14:paraId="00000030">
            <w:pPr>
              <w:jc w:val="both"/>
              <w:rPr>
                <w:sz w:val="24"/>
                <w:szCs w:val="24"/>
              </w:rPr>
            </w:pPr>
            <w:r w:rsidDel="00000000" w:rsidR="00000000" w:rsidRPr="00000000">
              <w:rPr>
                <w:sz w:val="24"/>
                <w:szCs w:val="24"/>
                <w:rtl w:val="0"/>
              </w:rPr>
              <w:t xml:space="preserve">15 de abril 2022</w:t>
            </w:r>
          </w:p>
        </w:tc>
        <w:tc>
          <w:tcPr/>
          <w:p w:rsidR="00000000" w:rsidDel="00000000" w:rsidP="00000000" w:rsidRDefault="00000000" w:rsidRPr="00000000" w14:paraId="00000031">
            <w:pPr>
              <w:jc w:val="both"/>
              <w:rPr>
                <w:sz w:val="24"/>
                <w:szCs w:val="24"/>
              </w:rPr>
            </w:pPr>
            <w:r w:rsidDel="00000000" w:rsidR="00000000" w:rsidRPr="00000000">
              <w:rPr>
                <w:sz w:val="24"/>
                <w:szCs w:val="24"/>
                <w:rtl w:val="0"/>
              </w:rPr>
              <w:t xml:space="preserve">Autorización del SERVIU Metropolitano para realización de obra de sombreado de plaza de juegos de villa Nacimiento.</w:t>
            </w:r>
          </w:p>
        </w:tc>
      </w:tr>
      <w:tr>
        <w:trPr>
          <w:cantSplit w:val="0"/>
          <w:tblHeader w:val="0"/>
        </w:trPr>
        <w:tc>
          <w:tcPr/>
          <w:p w:rsidR="00000000" w:rsidDel="00000000" w:rsidP="00000000" w:rsidRDefault="00000000" w:rsidRPr="00000000" w14:paraId="00000032">
            <w:pPr>
              <w:jc w:val="both"/>
              <w:rPr>
                <w:b w:val="1"/>
                <w:sz w:val="24"/>
                <w:szCs w:val="24"/>
              </w:rPr>
            </w:pPr>
            <w:r w:rsidDel="00000000" w:rsidR="00000000" w:rsidRPr="00000000">
              <w:rPr>
                <w:b w:val="1"/>
                <w:sz w:val="24"/>
                <w:szCs w:val="24"/>
                <w:rtl w:val="0"/>
              </w:rPr>
              <w:t xml:space="preserve">5</w:t>
            </w:r>
          </w:p>
        </w:tc>
        <w:tc>
          <w:tcPr/>
          <w:p w:rsidR="00000000" w:rsidDel="00000000" w:rsidP="00000000" w:rsidRDefault="00000000" w:rsidRPr="00000000" w14:paraId="00000033">
            <w:pPr>
              <w:jc w:val="both"/>
              <w:rPr>
                <w:sz w:val="24"/>
                <w:szCs w:val="24"/>
              </w:rPr>
            </w:pPr>
            <w:r w:rsidDel="00000000" w:rsidR="00000000" w:rsidRPr="00000000">
              <w:rPr>
                <w:sz w:val="24"/>
                <w:szCs w:val="24"/>
                <w:rtl w:val="0"/>
              </w:rPr>
              <w:t xml:space="preserve">21 de abril 2022</w:t>
            </w:r>
          </w:p>
        </w:tc>
        <w:tc>
          <w:tcPr/>
          <w:p w:rsidR="00000000" w:rsidDel="00000000" w:rsidP="00000000" w:rsidRDefault="00000000" w:rsidRPr="00000000" w14:paraId="00000034">
            <w:pPr>
              <w:jc w:val="both"/>
              <w:rPr>
                <w:sz w:val="24"/>
                <w:szCs w:val="24"/>
              </w:rPr>
            </w:pPr>
            <w:r w:rsidDel="00000000" w:rsidR="00000000" w:rsidRPr="00000000">
              <w:rPr>
                <w:sz w:val="24"/>
                <w:szCs w:val="24"/>
                <w:rtl w:val="0"/>
              </w:rPr>
              <w:t xml:space="preserve">-----------------------</w:t>
            </w:r>
          </w:p>
        </w:tc>
        <w:tc>
          <w:tcPr/>
          <w:p w:rsidR="00000000" w:rsidDel="00000000" w:rsidP="00000000" w:rsidRDefault="00000000" w:rsidRPr="00000000" w14:paraId="00000035">
            <w:pPr>
              <w:jc w:val="both"/>
              <w:rPr>
                <w:sz w:val="24"/>
                <w:szCs w:val="24"/>
              </w:rPr>
            </w:pPr>
            <w:r w:rsidDel="00000000" w:rsidR="00000000" w:rsidRPr="00000000">
              <w:rPr>
                <w:sz w:val="24"/>
                <w:szCs w:val="24"/>
                <w:rtl w:val="0"/>
              </w:rPr>
              <w:t xml:space="preserve">Firma contrato de obra villa Nacimiento.</w:t>
            </w:r>
          </w:p>
        </w:tc>
      </w:tr>
      <w:tr>
        <w:trPr>
          <w:cantSplit w:val="0"/>
          <w:tblHeader w:val="0"/>
        </w:trPr>
        <w:tc>
          <w:tcPr/>
          <w:p w:rsidR="00000000" w:rsidDel="00000000" w:rsidP="00000000" w:rsidRDefault="00000000" w:rsidRPr="00000000" w14:paraId="00000036">
            <w:pPr>
              <w:jc w:val="both"/>
              <w:rPr>
                <w:b w:val="1"/>
                <w:sz w:val="24"/>
                <w:szCs w:val="24"/>
              </w:rPr>
            </w:pPr>
            <w:r w:rsidDel="00000000" w:rsidR="00000000" w:rsidRPr="00000000">
              <w:rPr>
                <w:b w:val="1"/>
                <w:sz w:val="24"/>
                <w:szCs w:val="24"/>
                <w:rtl w:val="0"/>
              </w:rPr>
              <w:t xml:space="preserve">6</w:t>
            </w:r>
          </w:p>
        </w:tc>
        <w:tc>
          <w:tcPr/>
          <w:p w:rsidR="00000000" w:rsidDel="00000000" w:rsidP="00000000" w:rsidRDefault="00000000" w:rsidRPr="00000000" w14:paraId="00000037">
            <w:pPr>
              <w:jc w:val="both"/>
              <w:rPr>
                <w:sz w:val="24"/>
                <w:szCs w:val="24"/>
              </w:rPr>
            </w:pPr>
            <w:r w:rsidDel="00000000" w:rsidR="00000000" w:rsidRPr="00000000">
              <w:rPr>
                <w:sz w:val="24"/>
                <w:szCs w:val="24"/>
                <w:rtl w:val="0"/>
              </w:rPr>
              <w:t xml:space="preserve">22 de abril 2022</w:t>
            </w:r>
          </w:p>
        </w:tc>
        <w:tc>
          <w:tcPr/>
          <w:p w:rsidR="00000000" w:rsidDel="00000000" w:rsidP="00000000" w:rsidRDefault="00000000" w:rsidRPr="00000000" w14:paraId="00000038">
            <w:pPr>
              <w:jc w:val="both"/>
              <w:rPr>
                <w:sz w:val="24"/>
                <w:szCs w:val="24"/>
              </w:rPr>
            </w:pPr>
            <w:r w:rsidDel="00000000" w:rsidR="00000000" w:rsidRPr="00000000">
              <w:rPr>
                <w:sz w:val="24"/>
                <w:szCs w:val="24"/>
                <w:rtl w:val="0"/>
              </w:rPr>
              <w:t xml:space="preserve">31 de mayo 2022</w:t>
            </w:r>
          </w:p>
        </w:tc>
        <w:tc>
          <w:tcPr/>
          <w:p w:rsidR="00000000" w:rsidDel="00000000" w:rsidP="00000000" w:rsidRDefault="00000000" w:rsidRPr="00000000" w14:paraId="00000039">
            <w:pPr>
              <w:jc w:val="both"/>
              <w:rPr>
                <w:sz w:val="24"/>
                <w:szCs w:val="24"/>
              </w:rPr>
            </w:pPr>
            <w:r w:rsidDel="00000000" w:rsidR="00000000" w:rsidRPr="00000000">
              <w:rPr>
                <w:sz w:val="24"/>
                <w:szCs w:val="24"/>
                <w:rtl w:val="0"/>
              </w:rPr>
              <w:t xml:space="preserve">Seguimiento y monitoreo a las iniciativas financiadas.</w:t>
            </w:r>
          </w:p>
        </w:tc>
      </w:tr>
    </w:tbl>
    <w:p w:rsidR="00000000" w:rsidDel="00000000" w:rsidP="00000000" w:rsidRDefault="00000000" w:rsidRPr="00000000" w14:paraId="0000003A">
      <w:pPr>
        <w:jc w:val="both"/>
        <w:rPr>
          <w:b w:val="1"/>
          <w:sz w:val="24"/>
          <w:szCs w:val="24"/>
        </w:rPr>
      </w:pPr>
      <w:bookmarkStart w:colFirst="0" w:colLast="0" w:name="_heading=h.gjdgxs" w:id="0"/>
      <w:bookmarkEnd w:id="0"/>
      <w:r w:rsidDel="00000000" w:rsidR="00000000" w:rsidRPr="00000000">
        <w:rPr>
          <w:rtl w:val="0"/>
        </w:rPr>
      </w:r>
    </w:p>
    <w:sectPr>
      <w:headerReference r:id="rId7" w:type="default"/>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 w:val="right" w:pos="10490"/>
      </w:tabs>
      <w:spacing w:after="0" w:before="0" w:line="240" w:lineRule="auto"/>
      <w:ind w:left="2124" w:right="310" w:firstLine="0"/>
      <w:jc w:val="right"/>
      <w:rPr>
        <w:rFonts w:ascii="Calibri" w:cs="Calibri" w:eastAsia="Calibri" w:hAnsi="Calibri"/>
        <w:b w:val="1"/>
        <w:i w:val="1"/>
        <w:smallCaps w:val="0"/>
        <w:strike w:val="0"/>
        <w:color w:val="404040"/>
        <w:sz w:val="20"/>
        <w:szCs w:val="20"/>
        <w:u w:val="none"/>
        <w:shd w:fill="auto" w:val="clear"/>
        <w:vertAlign w:val="baseline"/>
      </w:rPr>
    </w:pPr>
    <w:bookmarkStart w:colFirst="0" w:colLast="0" w:name="_heading=h.30j0zll" w:id="1"/>
    <w:bookmarkEnd w:id="1"/>
    <w:r w:rsidDel="00000000" w:rsidR="00000000" w:rsidRPr="00000000">
      <w:rPr>
        <w:rFonts w:ascii="Calibri" w:cs="Calibri" w:eastAsia="Calibri" w:hAnsi="Calibri"/>
        <w:b w:val="1"/>
        <w:i w:val="1"/>
        <w:smallCaps w:val="0"/>
        <w:strike w:val="0"/>
        <w:color w:val="404040"/>
        <w:sz w:val="20"/>
        <w:szCs w:val="20"/>
        <w:u w:val="none"/>
        <w:shd w:fill="auto" w:val="clear"/>
        <w:vertAlign w:val="baseline"/>
        <w:rtl w:val="0"/>
      </w:rPr>
      <w:t xml:space="preserve">Programa Barrios en Acción – Estrategia activación barrial</w:t>
    </w:r>
    <w:r w:rsidDel="00000000" w:rsidR="00000000" w:rsidRPr="00000000">
      <w:drawing>
        <wp:anchor allowOverlap="1" behindDoc="0" distB="0" distT="0" distL="114300" distR="114300" hidden="0" layoutInCell="1" locked="0" relativeHeight="0" simplePos="0">
          <wp:simplePos x="0" y="0"/>
          <wp:positionH relativeFrom="column">
            <wp:posOffset>5292090</wp:posOffset>
          </wp:positionH>
          <wp:positionV relativeFrom="paragraph">
            <wp:posOffset>7620</wp:posOffset>
          </wp:positionV>
          <wp:extent cx="419100" cy="381000"/>
          <wp:effectExtent b="0" l="0" r="0" t="0"/>
          <wp:wrapSquare wrapText="bothSides" distB="0" distT="0" distL="114300" distR="114300"/>
          <wp:docPr descr="cid:image001.png@01D57782.489B2A80" id="2" name="image1.png"/>
          <a:graphic>
            <a:graphicData uri="http://schemas.openxmlformats.org/drawingml/2006/picture">
              <pic:pic>
                <pic:nvPicPr>
                  <pic:cNvPr descr="cid:image001.png@01D57782.489B2A80" id="0" name="image1.png"/>
                  <pic:cNvPicPr preferRelativeResize="0"/>
                </pic:nvPicPr>
                <pic:blipFill>
                  <a:blip r:embed="rId1"/>
                  <a:srcRect b="0" l="0" r="0" t="0"/>
                  <a:stretch>
                    <a:fillRect/>
                  </a:stretch>
                </pic:blipFill>
                <pic:spPr>
                  <a:xfrm>
                    <a:off x="0" y="0"/>
                    <a:ext cx="419100" cy="381000"/>
                  </a:xfrm>
                  <a:prstGeom prst="rect"/>
                  <a:ln/>
                </pic:spPr>
              </pic:pic>
            </a:graphicData>
          </a:graphic>
        </wp:anchor>
      </w:drawing>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 w:val="right" w:pos="10490"/>
      </w:tabs>
      <w:spacing w:after="0" w:before="0" w:line="240" w:lineRule="auto"/>
      <w:ind w:left="2124" w:right="310" w:firstLine="0"/>
      <w:jc w:val="right"/>
      <w:rPr>
        <w:rFonts w:ascii="Calibri" w:cs="Calibri" w:eastAsia="Calibri" w:hAnsi="Calibri"/>
        <w:b w:val="1"/>
        <w:i w:val="1"/>
        <w:smallCaps w:val="0"/>
        <w:strike w:val="0"/>
        <w:color w:val="404040"/>
        <w:sz w:val="20"/>
        <w:szCs w:val="20"/>
        <w:u w:val="none"/>
        <w:shd w:fill="auto" w:val="clear"/>
        <w:vertAlign w:val="baseline"/>
      </w:rPr>
    </w:pPr>
    <w:r w:rsidDel="00000000" w:rsidR="00000000" w:rsidRPr="00000000">
      <w:rPr>
        <w:rFonts w:ascii="Calibri" w:cs="Calibri" w:eastAsia="Calibri" w:hAnsi="Calibri"/>
        <w:b w:val="1"/>
        <w:i w:val="1"/>
        <w:smallCaps w:val="0"/>
        <w:strike w:val="0"/>
        <w:color w:val="404040"/>
        <w:sz w:val="20"/>
        <w:szCs w:val="20"/>
        <w:u w:val="none"/>
        <w:shd w:fill="auto" w:val="clear"/>
        <w:vertAlign w:val="baseline"/>
        <w:rtl w:val="0"/>
      </w:rPr>
      <w:t xml:space="preserve">Fondo de Solidaridad e Inversión Social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Default" w:customStyle="1">
    <w:name w:val="Default"/>
    <w:rsid w:val="0077764E"/>
    <w:pPr>
      <w:autoSpaceDE w:val="0"/>
      <w:autoSpaceDN w:val="0"/>
      <w:adjustRightInd w:val="0"/>
      <w:spacing w:after="0" w:line="240" w:lineRule="auto"/>
    </w:pPr>
    <w:rPr>
      <w:rFonts w:ascii="Aaux Pro" w:cs="Aaux Pro" w:hAnsi="Aaux Pro"/>
      <w:color w:val="000000"/>
      <w:sz w:val="24"/>
      <w:szCs w:val="24"/>
    </w:rPr>
  </w:style>
  <w:style w:type="paragraph" w:styleId="Pa55" w:customStyle="1">
    <w:name w:val="Pa55"/>
    <w:basedOn w:val="Default"/>
    <w:next w:val="Default"/>
    <w:uiPriority w:val="99"/>
    <w:rsid w:val="0077764E"/>
    <w:pPr>
      <w:spacing w:line="221" w:lineRule="atLeast"/>
    </w:pPr>
    <w:rPr>
      <w:rFonts w:cstheme="minorBidi"/>
      <w:color w:val="auto"/>
    </w:rPr>
  </w:style>
  <w:style w:type="character" w:styleId="A5" w:customStyle="1">
    <w:name w:val="A5"/>
    <w:uiPriority w:val="99"/>
    <w:rsid w:val="0077764E"/>
    <w:rPr>
      <w:rFonts w:cs="Aaux Pro"/>
      <w:color w:val="000000"/>
      <w:sz w:val="21"/>
      <w:szCs w:val="21"/>
    </w:rPr>
  </w:style>
  <w:style w:type="paragraph" w:styleId="Pa4" w:customStyle="1">
    <w:name w:val="Pa4"/>
    <w:basedOn w:val="Default"/>
    <w:next w:val="Default"/>
    <w:uiPriority w:val="99"/>
    <w:rsid w:val="0077764E"/>
    <w:pPr>
      <w:spacing w:line="211" w:lineRule="atLeast"/>
    </w:pPr>
    <w:rPr>
      <w:rFonts w:cstheme="minorBidi"/>
      <w:color w:val="auto"/>
    </w:rPr>
  </w:style>
  <w:style w:type="character" w:styleId="Refdecomentario">
    <w:name w:val="annotation reference"/>
    <w:basedOn w:val="Fuentedeprrafopredeter"/>
    <w:uiPriority w:val="99"/>
    <w:semiHidden w:val="1"/>
    <w:unhideWhenUsed w:val="1"/>
    <w:rsid w:val="00DB7045"/>
    <w:rPr>
      <w:sz w:val="16"/>
      <w:szCs w:val="16"/>
    </w:rPr>
  </w:style>
  <w:style w:type="paragraph" w:styleId="Textocomentario">
    <w:name w:val="annotation text"/>
    <w:basedOn w:val="Normal"/>
    <w:link w:val="TextocomentarioCar"/>
    <w:uiPriority w:val="99"/>
    <w:semiHidden w:val="1"/>
    <w:unhideWhenUsed w:val="1"/>
    <w:rsid w:val="00DB7045"/>
    <w:pPr>
      <w:spacing w:line="240" w:lineRule="auto"/>
    </w:pPr>
    <w:rPr>
      <w:sz w:val="20"/>
      <w:szCs w:val="20"/>
    </w:rPr>
  </w:style>
  <w:style w:type="character" w:styleId="TextocomentarioCar" w:customStyle="1">
    <w:name w:val="Texto comentario Car"/>
    <w:basedOn w:val="Fuentedeprrafopredeter"/>
    <w:link w:val="Textocomentario"/>
    <w:uiPriority w:val="99"/>
    <w:semiHidden w:val="1"/>
    <w:rsid w:val="00DB7045"/>
    <w:rPr>
      <w:sz w:val="20"/>
      <w:szCs w:val="20"/>
    </w:rPr>
  </w:style>
  <w:style w:type="paragraph" w:styleId="Asuntodelcomentario">
    <w:name w:val="annotation subject"/>
    <w:basedOn w:val="Textocomentario"/>
    <w:next w:val="Textocomentario"/>
    <w:link w:val="AsuntodelcomentarioCar"/>
    <w:uiPriority w:val="99"/>
    <w:semiHidden w:val="1"/>
    <w:unhideWhenUsed w:val="1"/>
    <w:rsid w:val="00DB7045"/>
    <w:rPr>
      <w:b w:val="1"/>
      <w:bCs w:val="1"/>
    </w:rPr>
  </w:style>
  <w:style w:type="character" w:styleId="AsuntodelcomentarioCar" w:customStyle="1">
    <w:name w:val="Asunto del comentario Car"/>
    <w:basedOn w:val="TextocomentarioCar"/>
    <w:link w:val="Asuntodelcomentario"/>
    <w:uiPriority w:val="99"/>
    <w:semiHidden w:val="1"/>
    <w:rsid w:val="00DB7045"/>
    <w:rPr>
      <w:b w:val="1"/>
      <w:bCs w:val="1"/>
      <w:sz w:val="20"/>
      <w:szCs w:val="20"/>
    </w:rPr>
  </w:style>
  <w:style w:type="paragraph" w:styleId="Textodeglobo">
    <w:name w:val="Balloon Text"/>
    <w:basedOn w:val="Normal"/>
    <w:link w:val="TextodegloboCar"/>
    <w:uiPriority w:val="99"/>
    <w:semiHidden w:val="1"/>
    <w:unhideWhenUsed w:val="1"/>
    <w:rsid w:val="00DB7045"/>
    <w:pPr>
      <w:spacing w:after="0" w:line="240" w:lineRule="auto"/>
    </w:pPr>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DB7045"/>
    <w:rPr>
      <w:rFonts w:ascii="Segoe UI" w:cs="Segoe UI" w:hAnsi="Segoe UI"/>
      <w:sz w:val="18"/>
      <w:szCs w:val="18"/>
    </w:rPr>
  </w:style>
  <w:style w:type="paragraph" w:styleId="Encabezado">
    <w:name w:val="header"/>
    <w:basedOn w:val="Normal"/>
    <w:link w:val="EncabezadoCar"/>
    <w:uiPriority w:val="99"/>
    <w:unhideWhenUsed w:val="1"/>
    <w:rsid w:val="00A77C54"/>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A77C54"/>
  </w:style>
  <w:style w:type="paragraph" w:styleId="Piedepgina">
    <w:name w:val="footer"/>
    <w:basedOn w:val="Normal"/>
    <w:link w:val="PiedepginaCar"/>
    <w:uiPriority w:val="99"/>
    <w:unhideWhenUsed w:val="1"/>
    <w:rsid w:val="00A77C54"/>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A77C54"/>
  </w:style>
  <w:style w:type="paragraph" w:styleId="NormalWeb">
    <w:name w:val="Normal (Web)"/>
    <w:basedOn w:val="Normal"/>
    <w:uiPriority w:val="99"/>
    <w:semiHidden w:val="1"/>
    <w:unhideWhenUsed w:val="1"/>
    <w:rsid w:val="009C3D0A"/>
    <w:pPr>
      <w:spacing w:after="100" w:afterAutospacing="1" w:before="100" w:beforeAutospacing="1" w:line="240" w:lineRule="auto"/>
    </w:pPr>
    <w:rPr>
      <w:rFonts w:ascii="Times New Roman" w:cs="Times New Roman" w:eastAsia="Times New Roman" w:hAnsi="Times New Roman"/>
      <w:sz w:val="24"/>
      <w:szCs w:val="24"/>
      <w:lang w:eastAsia="es-ES" w:val="es-ES"/>
    </w:rPr>
  </w:style>
  <w:style w:type="table" w:styleId="Tablaconcuadrcula">
    <w:name w:val="Table Grid"/>
    <w:basedOn w:val="Tablanormal"/>
    <w:uiPriority w:val="39"/>
    <w:rsid w:val="003D464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5.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pXJtWfB6J1CUioOYiO6yuPaNSQ==">AMUW2mXFM3GdJXrnj7zQUouPp1w9HU8DFGGLONu41TIAjlhPpYRyBoA0jDUofwsYJc17EtCHi9uBRYhCCplDSBUAS6sRKnjqjxd+091neY3AxEKoIhfCs6taErEnpifXvwYCkC5mCyXL</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SZFZ3KM2WWSW-901408782-196012</_dlc_DocId>
    <_dlc_DocIdUrl xmlns="7ba925a7-499c-4a29-a005-81b4ebbe0bf8">
      <Url>https://fosis.sharepoint.com/sites/cedoc/subgestiondeprogramas/_layouts/15/DocIdRedir.aspx?ID=SZFZ3KM2WWSW-901408782-196012</Url>
      <Description>SZFZ3KM2WWSW-901408782-196012</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C5CAE01-BD0D-49DB-BB9F-0063B79F1AC2}"/>
</file>

<file path=customXML/itemProps3.xml><?xml version="1.0" encoding="utf-8"?>
<ds:datastoreItem xmlns:ds="http://schemas.openxmlformats.org/officeDocument/2006/customXml" ds:itemID="{53D3D36D-D311-42A2-9CA2-6A419EACB759}"/>
</file>

<file path=customXML/itemProps4.xml><?xml version="1.0" encoding="utf-8"?>
<ds:datastoreItem xmlns:ds="http://schemas.openxmlformats.org/officeDocument/2006/customXml" ds:itemID="{FDF6B8E8-226A-4023-AFC4-4315E4D18A1C}"/>
</file>

<file path=customXML/itemProps5.xml><?xml version="1.0" encoding="utf-8"?>
<ds:datastoreItem xmlns:ds="http://schemas.openxmlformats.org/officeDocument/2006/customXml" ds:itemID="{0B77B97D-D66A-4C0B-B50A-E382299E7FB7}"/>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 Araya Olmos</dc:creator>
  <dcterms:created xsi:type="dcterms:W3CDTF">2020-06-26T11:40:00Z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49e9d62a-0fb7-45b6-8da4-1c8f01a7551f</vt:lpwstr>
  </property>
</Properties>
</file>